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21" w:rsidRPr="007D5CFB" w:rsidRDefault="00D41521" w:rsidP="00D41521">
      <w:pPr>
        <w:spacing w:after="0" w:line="240" w:lineRule="auto"/>
        <w:jc w:val="center"/>
        <w:rPr>
          <w:rFonts w:asciiTheme="minorHAnsi" w:hAnsiTheme="minorHAnsi"/>
          <w:b/>
        </w:rPr>
      </w:pPr>
      <w:bookmarkStart w:id="0" w:name="_Toc381031420"/>
      <w:r w:rsidRPr="007D5CFB">
        <w:rPr>
          <w:rFonts w:asciiTheme="minorHAnsi" w:hAnsiTheme="minorHAnsi"/>
          <w:b/>
        </w:rPr>
        <w:t>ENCAMINHAMENTO DO TERMO DE REFERÊNCIA PARA APROVAÇÃO</w:t>
      </w:r>
      <w:bookmarkEnd w:id="0"/>
    </w:p>
    <w:p w:rsidR="00D41521" w:rsidRDefault="00D41521" w:rsidP="00D4152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:rsidR="00D41521" w:rsidRPr="00922F9B" w:rsidRDefault="00D41521" w:rsidP="00D4152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922F9B">
        <w:rPr>
          <w:rFonts w:asciiTheme="minorHAnsi" w:hAnsiTheme="minorHAnsi" w:cs="Calibri"/>
        </w:rPr>
        <w:t>Ao Magnífico Reitor,</w:t>
      </w:r>
    </w:p>
    <w:p w:rsidR="00D41521" w:rsidRPr="00922F9B" w:rsidRDefault="00D41521" w:rsidP="00D4152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:rsidR="00D41521" w:rsidRPr="00922F9B" w:rsidRDefault="00D41521" w:rsidP="00D4152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922F9B">
        <w:rPr>
          <w:rFonts w:asciiTheme="minorHAnsi" w:hAnsiTheme="minorHAnsi" w:cs="Calibri"/>
        </w:rPr>
        <w:t>Para aprovação do Processo Licitatório e do Termo de Referência, conforme Art. 6, da IN 008/2011. Após, retornar ao Setor de Compras/CLC para demais trâmites.</w:t>
      </w:r>
    </w:p>
    <w:p w:rsidR="00D41521" w:rsidRPr="00922F9B" w:rsidRDefault="00D41521" w:rsidP="00D41521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:rsidR="00D41521" w:rsidRPr="00922F9B" w:rsidRDefault="00D41521" w:rsidP="00D41521">
      <w:pPr>
        <w:tabs>
          <w:tab w:val="left" w:pos="0"/>
        </w:tabs>
        <w:spacing w:after="0" w:line="240" w:lineRule="auto"/>
        <w:jc w:val="both"/>
        <w:rPr>
          <w:rFonts w:asciiTheme="minorHAnsi" w:hAnsiTheme="minorHAnsi" w:cs="Arial"/>
          <w:b/>
          <w:lang w:eastAsia="pt-BR"/>
        </w:rPr>
      </w:pPr>
      <w:r w:rsidRPr="00922F9B">
        <w:rPr>
          <w:rFonts w:asciiTheme="minorHAnsi" w:hAnsiTheme="minorHAnsi" w:cs="Arial"/>
          <w:b/>
          <w:bCs/>
          <w:lang w:eastAsia="pt-BR"/>
        </w:rPr>
        <w:t xml:space="preserve">Objeto: </w:t>
      </w:r>
      <w:r w:rsidR="00F30235" w:rsidRPr="00F30235">
        <w:rPr>
          <w:rFonts w:cs="Arial"/>
          <w:b/>
          <w:lang w:eastAsia="pt-BR"/>
        </w:rPr>
        <w:t>Contratação de Empresa Prestadora de Serviço de Revisão, Tradução de Textos e Tradução Simultânea – TODA A UDESC</w:t>
      </w:r>
      <w:r w:rsidRPr="00922F9B">
        <w:rPr>
          <w:b/>
          <w:caps/>
        </w:rPr>
        <w:t>.</w:t>
      </w:r>
    </w:p>
    <w:p w:rsidR="00D41521" w:rsidRPr="00922F9B" w:rsidRDefault="00D41521" w:rsidP="00D41521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lang w:eastAsia="pt-BR"/>
        </w:rPr>
      </w:pPr>
    </w:p>
    <w:p w:rsidR="00D41521" w:rsidRPr="002B242E" w:rsidRDefault="00D41521" w:rsidP="00D41521">
      <w:pPr>
        <w:snapToGrid w:val="0"/>
        <w:jc w:val="both"/>
        <w:rPr>
          <w:rFonts w:cs="Arial"/>
          <w:lang w:eastAsia="pt-BR"/>
        </w:rPr>
      </w:pPr>
      <w:r w:rsidRPr="00922F9B">
        <w:rPr>
          <w:rFonts w:asciiTheme="minorHAnsi" w:hAnsiTheme="minorHAnsi"/>
          <w:b/>
        </w:rPr>
        <w:t>Justificativa:</w:t>
      </w:r>
      <w:r w:rsidRPr="00922F9B">
        <w:rPr>
          <w:rFonts w:asciiTheme="minorHAnsi" w:hAnsiTheme="minorHAnsi"/>
        </w:rPr>
        <w:t xml:space="preserve"> </w:t>
      </w:r>
      <w:r w:rsidRPr="002B242E">
        <w:rPr>
          <w:rFonts w:cs="Arial"/>
          <w:lang w:eastAsia="pt-BR"/>
        </w:rPr>
        <w:t>A contratação de empresa especializada em serviços de tradução e revisão de texto visa atender a demanda existente em eventos como seminários, simpósios, missões e encontros e também publicações em livros e periódicos referentes ao Ensino, Pesquisa e Extensão desta Instituição. Os quais ocorrem com grande frequência, e que muitos já estão previstos para esse ano no calendário acadêmico, e é corriqueira a participação de palestrantes convidados de outros países e até mesmo delegações estrangeiras.</w:t>
      </w:r>
    </w:p>
    <w:p w:rsidR="00D41521" w:rsidRPr="002B242E" w:rsidRDefault="00D41521" w:rsidP="00D41521">
      <w:pPr>
        <w:snapToGrid w:val="0"/>
        <w:jc w:val="both"/>
        <w:rPr>
          <w:rFonts w:cs="Arial"/>
          <w:lang w:eastAsia="pt-BR"/>
        </w:rPr>
      </w:pPr>
      <w:r w:rsidRPr="002B242E">
        <w:rPr>
          <w:rFonts w:cs="Arial"/>
          <w:lang w:eastAsia="pt-BR"/>
        </w:rPr>
        <w:t>A Administração espera que a contratação em tela favoreça a interação e a comunicação nos eventos institucionais e também na absorção dos conhecimentos advindos das mesmas seja efetivo para a comunidade acadêmica.</w:t>
      </w:r>
    </w:p>
    <w:p w:rsidR="00D41521" w:rsidRDefault="00D41521" w:rsidP="00D41521">
      <w:pPr>
        <w:snapToGrid w:val="0"/>
        <w:jc w:val="both"/>
        <w:rPr>
          <w:rFonts w:cs="Arial"/>
          <w:lang w:eastAsia="pt-BR"/>
        </w:rPr>
      </w:pPr>
      <w:r w:rsidRPr="002B242E">
        <w:rPr>
          <w:rFonts w:cs="Arial"/>
          <w:lang w:eastAsia="pt-BR"/>
        </w:rPr>
        <w:t>Quanto aos serviços de tradução viabilizarão, ainda, melhor produtividade de artigos acadêmicos tantos das revistas existentes nesta Universidade como aqueles trabalhos a serem remetidos a outras revistas externas.</w:t>
      </w:r>
    </w:p>
    <w:p w:rsidR="00D41521" w:rsidRPr="001E2F82" w:rsidRDefault="00D41521" w:rsidP="00D41521">
      <w:pPr>
        <w:snapToGrid w:val="0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t>Justifica-se a contratação de tradutores intérpretes de LIBRAS para atender a demanda de acessibilidade a alunos e professores surdos do Curso de pedagogia a distância do CEAD - UDESC em congressos, palestras, seminários e solenidades oficiais, bem como em reuniões dos conselhos superiores e demais eventos.  Ressalta-se que é responsabilidade do poder público promover acessibilidade às pessoas surdas por meio da presença de um tradutor intérprete de LIBRAS nos espaços públicos, conforme a Lei 10.098/2000, que estabelece normas gerais e critérios básicos para a promoção da acessibilidade das pessoas portadoras de deficiência e dispõe:</w:t>
      </w:r>
    </w:p>
    <w:p w:rsidR="00D41521" w:rsidRPr="001E2F82" w:rsidRDefault="00D41521" w:rsidP="00D41521">
      <w:pPr>
        <w:snapToGrid w:val="0"/>
        <w:ind w:left="2268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t>CAPÍTULO VII</w:t>
      </w:r>
    </w:p>
    <w:p w:rsidR="00D41521" w:rsidRPr="001E2F82" w:rsidRDefault="00D41521" w:rsidP="00D41521">
      <w:pPr>
        <w:snapToGrid w:val="0"/>
        <w:ind w:left="2268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t>DA ACESSIBILIDADE NOS SISTEMAS DE COMUNICAÇÃO E SINALIZAÇÃO</w:t>
      </w:r>
    </w:p>
    <w:p w:rsidR="00D41521" w:rsidRPr="001E2F82" w:rsidRDefault="00D41521" w:rsidP="00D41521">
      <w:pPr>
        <w:snapToGrid w:val="0"/>
        <w:ind w:left="2268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t>Art. 17. O Poder Público promoverá a eliminação de barreiras na comunicação e estabelecerá mecanismos e alternativas técnicas que tornem acessíveis os sistemas de comunicação e sinalização às pessoas portadoras de deficiência sensorial e com dificuldade de comunicação, para garantir-lhes o direito de acesso à informação, à comunicação, ao trabalho, à educação, ao transporte, à cultura, ao esporte e ao lazer.</w:t>
      </w:r>
    </w:p>
    <w:p w:rsidR="00D41521" w:rsidRPr="001E2F82" w:rsidRDefault="00D41521" w:rsidP="00D41521">
      <w:pPr>
        <w:snapToGrid w:val="0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lastRenderedPageBreak/>
        <w:t>Da mesma forma, o Decreto 5626/2005 dispõe que:</w:t>
      </w:r>
    </w:p>
    <w:p w:rsidR="00D41521" w:rsidRPr="001E2F82" w:rsidRDefault="00D41521" w:rsidP="00D41521">
      <w:pPr>
        <w:snapToGrid w:val="0"/>
        <w:ind w:left="2268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t>CAPÍTULO VIII</w:t>
      </w:r>
    </w:p>
    <w:p w:rsidR="00D41521" w:rsidRPr="001E2F82" w:rsidRDefault="00D41521" w:rsidP="00D41521">
      <w:pPr>
        <w:snapToGrid w:val="0"/>
        <w:ind w:left="2268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t>DO PAPEL DO PODER PÚBLICO E DAS EMPRESAS QUE DETÊM CONCESSÃO OU PERMISSÃO DE SERVIÇOS PÚBLICOS, NO APOIO AO USO E DIFUSÃO DA LIBRAS</w:t>
      </w:r>
    </w:p>
    <w:p w:rsidR="00D41521" w:rsidRPr="001E2F82" w:rsidRDefault="00D41521" w:rsidP="00D41521">
      <w:pPr>
        <w:snapToGrid w:val="0"/>
        <w:ind w:left="2268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t>Art. 26. A partir de um ano da publicação deste Decreto, o Poder Público, as empresas concessionárias de serviços públicos e os órgãos da administração pública federal, direta e indireta devem garantir às pessoas surdas o tratamento diferenciado, por meio do uso e difusão de Libras e da tradução e interpretação de Libras - Língua Portuguesa, realizados por servidores e empregados capacitados para essa função, bem como o acesso às tecnologias de informação, conforme prevê o Decreto no 5.296, de 2004.</w:t>
      </w:r>
    </w:p>
    <w:p w:rsidR="00D41521" w:rsidRPr="001E2F82" w:rsidRDefault="00D41521" w:rsidP="00D41521">
      <w:pPr>
        <w:snapToGrid w:val="0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t>Desta forma, a acessibilidade deve ser garantida aos professores e alunos surdos, uma vez que as informações devem ser oferecidas em LIBRAS a eles através da tradução e interpretação assim como o são para os demais professores e alunos do CEAD e da UDESC.</w:t>
      </w:r>
      <w:r w:rsidRPr="001E2F82">
        <w:rPr>
          <w:rFonts w:cs="Arial"/>
          <w:lang w:eastAsia="pt-BR"/>
        </w:rPr>
        <w:cr/>
      </w:r>
    </w:p>
    <w:p w:rsidR="00D41521" w:rsidRDefault="00D41521" w:rsidP="00D41521">
      <w:pPr>
        <w:snapToGrid w:val="0"/>
        <w:jc w:val="both"/>
        <w:rPr>
          <w:rFonts w:cs="Arial"/>
          <w:lang w:eastAsia="pt-BR"/>
        </w:rPr>
      </w:pPr>
      <w:r w:rsidRPr="001E2F82">
        <w:rPr>
          <w:rFonts w:cs="Arial"/>
          <w:lang w:eastAsia="pt-BR"/>
        </w:rPr>
        <w:t>Ressalta-se que a UDESC já contrata, através do Centro de Educação a Distância, o intérprete educacional estritamente para o atendimento de professores alunos surdos em sala de aula. No entanto, este profissional não dispõe de carga horária para suprir as necessidades de tradução e interpretação de LIBRAS em eventos esporádicos. Por isso a necessidade de contratação de tradutores intérpretes de LIBRAS para tais ocasiões.</w:t>
      </w:r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Arial"/>
          <w:b/>
          <w:bCs/>
          <w:lang w:eastAsia="pt-BR"/>
        </w:rPr>
      </w:pPr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Calibri"/>
        </w:rPr>
      </w:pPr>
      <w:r w:rsidRPr="00257EAF">
        <w:rPr>
          <w:rFonts w:asciiTheme="minorHAnsi" w:hAnsiTheme="minorHAnsi" w:cs="Arial"/>
          <w:b/>
          <w:bCs/>
          <w:lang w:eastAsia="pt-BR"/>
        </w:rPr>
        <w:t xml:space="preserve">Valor: </w:t>
      </w:r>
      <w:r w:rsidRPr="00257EAF">
        <w:rPr>
          <w:rFonts w:asciiTheme="minorHAnsi" w:hAnsiTheme="minorHAnsi" w:cs="Calibri"/>
        </w:rPr>
        <w:t>O valor total estimado para atender todas as solicitações é de R$</w:t>
      </w:r>
      <w:r w:rsidR="00C70B80">
        <w:rPr>
          <w:rFonts w:asciiTheme="minorHAnsi" w:hAnsiTheme="minorHAnsi" w:cs="Calibri"/>
        </w:rPr>
        <w:t xml:space="preserve"> 323.253,26</w:t>
      </w:r>
      <w:r w:rsidR="00257EAF">
        <w:rPr>
          <w:rFonts w:asciiTheme="minorHAnsi" w:hAnsiTheme="minorHAnsi" w:cs="Calibri"/>
        </w:rPr>
        <w:t xml:space="preserve"> (</w:t>
      </w:r>
      <w:r w:rsidR="00257EAF" w:rsidRPr="00257EAF">
        <w:rPr>
          <w:rFonts w:asciiTheme="minorHAnsi" w:hAnsiTheme="minorHAnsi" w:cs="Calibri"/>
        </w:rPr>
        <w:t xml:space="preserve">trezentos e </w:t>
      </w:r>
      <w:r w:rsidR="00C70B80">
        <w:rPr>
          <w:rFonts w:asciiTheme="minorHAnsi" w:hAnsiTheme="minorHAnsi" w:cs="Calibri"/>
        </w:rPr>
        <w:t>vinte e três</w:t>
      </w:r>
      <w:r w:rsidR="00257EAF" w:rsidRPr="00257EAF">
        <w:rPr>
          <w:rFonts w:asciiTheme="minorHAnsi" w:hAnsiTheme="minorHAnsi" w:cs="Calibri"/>
        </w:rPr>
        <w:t xml:space="preserve"> mil e </w:t>
      </w:r>
      <w:r w:rsidR="00C70B80">
        <w:rPr>
          <w:rFonts w:asciiTheme="minorHAnsi" w:hAnsiTheme="minorHAnsi" w:cs="Calibri"/>
        </w:rPr>
        <w:t>duzentos</w:t>
      </w:r>
      <w:r w:rsidR="00257EAF" w:rsidRPr="00257EAF">
        <w:rPr>
          <w:rFonts w:asciiTheme="minorHAnsi" w:hAnsiTheme="minorHAnsi" w:cs="Calibri"/>
        </w:rPr>
        <w:t xml:space="preserve"> e </w:t>
      </w:r>
      <w:r w:rsidR="00C70B80">
        <w:rPr>
          <w:rFonts w:asciiTheme="minorHAnsi" w:hAnsiTheme="minorHAnsi" w:cs="Calibri"/>
        </w:rPr>
        <w:t>cinquenta</w:t>
      </w:r>
      <w:r w:rsidR="00257EAF" w:rsidRPr="00257EAF">
        <w:rPr>
          <w:rFonts w:asciiTheme="minorHAnsi" w:hAnsiTheme="minorHAnsi" w:cs="Calibri"/>
        </w:rPr>
        <w:t xml:space="preserve"> e </w:t>
      </w:r>
      <w:r w:rsidR="00C70B80">
        <w:rPr>
          <w:rFonts w:asciiTheme="minorHAnsi" w:hAnsiTheme="minorHAnsi" w:cs="Calibri"/>
        </w:rPr>
        <w:t>três</w:t>
      </w:r>
      <w:r w:rsidR="00257EAF" w:rsidRPr="00257EAF">
        <w:rPr>
          <w:rFonts w:asciiTheme="minorHAnsi" w:hAnsiTheme="minorHAnsi" w:cs="Calibri"/>
        </w:rPr>
        <w:t xml:space="preserve"> reais e </w:t>
      </w:r>
      <w:r w:rsidR="00C70B80">
        <w:rPr>
          <w:rFonts w:asciiTheme="minorHAnsi" w:hAnsiTheme="minorHAnsi" w:cs="Calibri"/>
        </w:rPr>
        <w:t xml:space="preserve">vinte </w:t>
      </w:r>
      <w:r w:rsidR="00257EAF" w:rsidRPr="00257EAF">
        <w:rPr>
          <w:rFonts w:asciiTheme="minorHAnsi" w:hAnsiTheme="minorHAnsi" w:cs="Calibri"/>
        </w:rPr>
        <w:t>e seis centavos</w:t>
      </w:r>
      <w:r w:rsidR="00257EAF">
        <w:rPr>
          <w:rFonts w:asciiTheme="minorHAnsi" w:hAnsiTheme="minorHAnsi" w:cs="Calibri"/>
        </w:rPr>
        <w:t>).</w:t>
      </w:r>
    </w:p>
    <w:p w:rsidR="00D41521" w:rsidRPr="00922F9B" w:rsidRDefault="00D41521" w:rsidP="00D4152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Calibri"/>
        </w:rPr>
      </w:pPr>
      <w:r w:rsidRPr="00922F9B">
        <w:rPr>
          <w:rFonts w:asciiTheme="minorHAnsi" w:hAnsiTheme="minorHAnsi" w:cs="Arial"/>
          <w:b/>
          <w:bCs/>
          <w:lang w:eastAsia="pt-BR"/>
        </w:rPr>
        <w:t>Vigência da Ata de Registro de Preços</w:t>
      </w:r>
      <w:r w:rsidRPr="00922F9B">
        <w:rPr>
          <w:rFonts w:asciiTheme="minorHAnsi" w:hAnsiTheme="minorHAnsi" w:cs="Calibri"/>
          <w:b/>
          <w:bCs/>
        </w:rPr>
        <w:t xml:space="preserve"> - ARP: </w:t>
      </w:r>
      <w:r w:rsidRPr="00922F9B">
        <w:rPr>
          <w:rFonts w:asciiTheme="minorHAnsi" w:hAnsiTheme="minorHAnsi" w:cs="Calibri"/>
          <w:bCs/>
        </w:rPr>
        <w:t>A ARP</w:t>
      </w:r>
      <w:r w:rsidRPr="00922F9B">
        <w:rPr>
          <w:rFonts w:asciiTheme="minorHAnsi" w:hAnsiTheme="minorHAnsi" w:cs="Calibri"/>
        </w:rPr>
        <w:t xml:space="preserve"> terá vigência de 12 (doze) meses a partir de sua assinatura.</w:t>
      </w:r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Calibri"/>
        </w:rPr>
      </w:pPr>
      <w:bookmarkStart w:id="1" w:name="_GoBack"/>
      <w:bookmarkEnd w:id="1"/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Calibri"/>
        </w:rPr>
      </w:pPr>
      <w:r w:rsidRPr="00922F9B">
        <w:rPr>
          <w:rFonts w:asciiTheme="minorHAnsi" w:hAnsiTheme="minorHAnsi" w:cs="Calibri"/>
          <w:b/>
          <w:bCs/>
        </w:rPr>
        <w:t xml:space="preserve">Vigência da Ordem de Serviço – OS: </w:t>
      </w:r>
      <w:r w:rsidRPr="00922F9B">
        <w:rPr>
          <w:rFonts w:asciiTheme="minorHAnsi" w:hAnsiTheme="minorHAnsi" w:cs="Calibri"/>
          <w:bCs/>
        </w:rPr>
        <w:t>A OS</w:t>
      </w:r>
      <w:r w:rsidRPr="00922F9B">
        <w:rPr>
          <w:rFonts w:asciiTheme="minorHAnsi" w:hAnsiTheme="minorHAnsi" w:cs="Calibri"/>
        </w:rPr>
        <w:t xml:space="preserve"> terá vigência a partir de sua assinatura até o encerramento dos créditos orçamentários do ano da emissão da OS (31 de dezembro).</w:t>
      </w:r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Calibri"/>
        </w:rPr>
      </w:pPr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Calibri"/>
        </w:rPr>
      </w:pPr>
      <w:r w:rsidRPr="00922F9B">
        <w:rPr>
          <w:rFonts w:asciiTheme="minorHAnsi" w:hAnsiTheme="minorHAnsi" w:cs="Calibri"/>
          <w:b/>
        </w:rPr>
        <w:t xml:space="preserve">Bem e/ou Serviço Comum: </w:t>
      </w:r>
      <w:r w:rsidRPr="00922F9B">
        <w:rPr>
          <w:rFonts w:asciiTheme="minorHAnsi" w:hAnsiTheme="minorHAnsi" w:cs="Calibri"/>
        </w:rPr>
        <w:t>Como foi objetivamente especificado no Termo de Referência, o Objeto da Licitação foi caracterizado como comum.</w:t>
      </w:r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Calibri"/>
        </w:rPr>
      </w:pPr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Calibri"/>
        </w:rPr>
      </w:pPr>
      <w:r w:rsidRPr="00922F9B">
        <w:rPr>
          <w:rFonts w:asciiTheme="minorHAnsi" w:hAnsiTheme="minorHAnsi" w:cs="Calibri"/>
          <w:b/>
        </w:rPr>
        <w:t xml:space="preserve">Serviços de caráter continuado: </w:t>
      </w:r>
      <w:r w:rsidRPr="00922F9B">
        <w:rPr>
          <w:rFonts w:asciiTheme="minorHAnsi" w:hAnsiTheme="minorHAnsi" w:cs="Calibri"/>
        </w:rPr>
        <w:t>Como não há prejuízos se houver a não continuidade da prestação de serviço para as atividades da Administração, não foi caracterizado como um serviço de caráter contínuo.</w:t>
      </w:r>
    </w:p>
    <w:p w:rsidR="00D41521" w:rsidRPr="00922F9B" w:rsidRDefault="00D41521" w:rsidP="00D4152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922F9B">
        <w:rPr>
          <w:rFonts w:ascii="Times New Roman" w:hAnsi="Times New Roman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1D8816" wp14:editId="6CFA7E18">
                <wp:simplePos x="0" y="0"/>
                <wp:positionH relativeFrom="column">
                  <wp:posOffset>5883910</wp:posOffset>
                </wp:positionH>
                <wp:positionV relativeFrom="paragraph">
                  <wp:posOffset>219710</wp:posOffset>
                </wp:positionV>
                <wp:extent cx="669290" cy="1601470"/>
                <wp:effectExtent l="0" t="0" r="16510" b="1778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01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1521" w:rsidRDefault="00D41521" w:rsidP="00D41521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APROVAÇÃO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D8816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left:0;text-align:left;margin-left:463.3pt;margin-top:17.3pt;width:52.7pt;height:126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:rsidR="00D41521" w:rsidRDefault="00D41521" w:rsidP="00D41521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APROVAÇÃO</w:t>
                      </w:r>
                    </w:p>
                  </w:txbxContent>
                </v:textbox>
              </v:shape>
            </w:pict>
          </mc:Fallback>
        </mc:AlternateContent>
      </w:r>
    </w:p>
    <w:p w:rsidR="00D41521" w:rsidRPr="00922F9B" w:rsidRDefault="00D41521" w:rsidP="00D4152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Respeitosamente</w:t>
      </w:r>
      <w:r w:rsidRPr="00922F9B">
        <w:rPr>
          <w:rFonts w:asciiTheme="minorHAnsi" w:hAnsiTheme="minorHAnsi" w:cs="Calibri"/>
        </w:rPr>
        <w:t>,</w:t>
      </w:r>
    </w:p>
    <w:p w:rsidR="00D41521" w:rsidRPr="00922F9B" w:rsidRDefault="00D41521" w:rsidP="00D41521">
      <w:pPr>
        <w:spacing w:after="0" w:line="240" w:lineRule="auto"/>
        <w:jc w:val="both"/>
        <w:rPr>
          <w:rFonts w:asciiTheme="minorHAnsi" w:hAnsiTheme="minorHAnsi" w:cs="Arial"/>
          <w:lang w:eastAsia="pt-BR"/>
        </w:rPr>
      </w:pPr>
    </w:p>
    <w:p w:rsidR="000B1020" w:rsidRDefault="000B1020"/>
    <w:sectPr w:rsidR="000B102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521" w:rsidRDefault="00D41521" w:rsidP="00D41521">
      <w:pPr>
        <w:spacing w:after="0" w:line="240" w:lineRule="auto"/>
      </w:pPr>
      <w:r>
        <w:separator/>
      </w:r>
    </w:p>
  </w:endnote>
  <w:endnote w:type="continuationSeparator" w:id="0">
    <w:p w:rsidR="00D41521" w:rsidRDefault="00D41521" w:rsidP="00D41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521" w:rsidRPr="004C3221" w:rsidRDefault="00D41521" w:rsidP="00D415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D41521" w:rsidRPr="00042199" w:rsidRDefault="00D41521" w:rsidP="00D415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D41521" w:rsidRDefault="00D41521" w:rsidP="00D415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D41521" w:rsidRPr="004C3221" w:rsidRDefault="00D41521" w:rsidP="00D415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D41521" w:rsidRDefault="00D41521" w:rsidP="00D41521">
    <w:pPr>
      <w:pStyle w:val="Rodap"/>
      <w:tabs>
        <w:tab w:val="clear" w:pos="4252"/>
        <w:tab w:val="clear" w:pos="8504"/>
        <w:tab w:val="left" w:pos="1770"/>
      </w:tabs>
    </w:pPr>
  </w:p>
  <w:p w:rsidR="00D41521" w:rsidRDefault="00D4152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521" w:rsidRDefault="00D41521" w:rsidP="00D41521">
      <w:pPr>
        <w:spacing w:after="0" w:line="240" w:lineRule="auto"/>
      </w:pPr>
      <w:r>
        <w:separator/>
      </w:r>
    </w:p>
  </w:footnote>
  <w:footnote w:type="continuationSeparator" w:id="0">
    <w:p w:rsidR="00D41521" w:rsidRDefault="00D41521" w:rsidP="00D41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521" w:rsidRDefault="00D41521" w:rsidP="00D41521">
    <w:pPr>
      <w:pStyle w:val="Cabealho"/>
    </w:pPr>
    <w:r w:rsidRPr="00DD30D1">
      <w:rPr>
        <w:noProof/>
        <w:lang w:eastAsia="pt-BR"/>
      </w:rPr>
      <w:drawing>
        <wp:inline distT="0" distB="0" distL="0" distR="0" wp14:anchorId="6EAE6E66" wp14:editId="34CE27BB">
          <wp:extent cx="1290698" cy="438150"/>
          <wp:effectExtent l="0" t="0" r="5080" b="0"/>
          <wp:docPr id="1" name="Imagem 1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:rsidR="00D41521" w:rsidRDefault="00D4152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521"/>
    <w:rsid w:val="000B1020"/>
    <w:rsid w:val="00257EAF"/>
    <w:rsid w:val="00C70B80"/>
    <w:rsid w:val="00D41521"/>
    <w:rsid w:val="00F3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4E7FD09-2D76-4403-9452-D0370269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5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415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52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415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5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724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LETICIA CASSETARI SAIDY</cp:lastModifiedBy>
  <cp:revision>4</cp:revision>
  <dcterms:created xsi:type="dcterms:W3CDTF">2019-04-02T21:09:00Z</dcterms:created>
  <dcterms:modified xsi:type="dcterms:W3CDTF">2019-06-05T19:27:00Z</dcterms:modified>
</cp:coreProperties>
</file>